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69" w:rsidRPr="00F44569" w:rsidRDefault="00F44569" w:rsidP="0018327F">
      <w:pPr>
        <w:spacing w:after="0"/>
        <w:jc w:val="center"/>
        <w:rPr>
          <w:rFonts w:cstheme="minorHAnsi"/>
          <w:b/>
          <w:sz w:val="22"/>
          <w:szCs w:val="18"/>
          <w:lang w:eastAsia="ru-RU"/>
        </w:rPr>
      </w:pPr>
    </w:p>
    <w:p w:rsidR="00F44569" w:rsidRPr="00F44569" w:rsidRDefault="00F44569" w:rsidP="0018327F">
      <w:pPr>
        <w:spacing w:after="0"/>
        <w:jc w:val="center"/>
        <w:rPr>
          <w:rFonts w:cstheme="minorHAnsi"/>
          <w:b/>
          <w:sz w:val="22"/>
          <w:szCs w:val="18"/>
          <w:lang w:eastAsia="ru-RU"/>
        </w:rPr>
      </w:pPr>
    </w:p>
    <w:p w:rsidR="0018327F" w:rsidRPr="00F44569" w:rsidRDefault="0077466C" w:rsidP="0018327F">
      <w:pPr>
        <w:spacing w:after="0"/>
        <w:jc w:val="center"/>
        <w:rPr>
          <w:rFonts w:cstheme="minorHAnsi"/>
          <w:b/>
          <w:sz w:val="22"/>
          <w:szCs w:val="18"/>
          <w:lang w:eastAsia="ru-RU"/>
        </w:rPr>
      </w:pPr>
      <w:r w:rsidRPr="00F44569">
        <w:rPr>
          <w:rFonts w:cstheme="minorHAnsi"/>
          <w:b/>
          <w:sz w:val="22"/>
          <w:szCs w:val="18"/>
          <w:lang w:eastAsia="ru-RU"/>
        </w:rPr>
        <w:t>Правила обработки</w:t>
      </w:r>
      <w:r w:rsidR="0018327F" w:rsidRPr="00F44569">
        <w:rPr>
          <w:rFonts w:cstheme="minorHAnsi"/>
          <w:b/>
          <w:sz w:val="22"/>
          <w:szCs w:val="18"/>
          <w:lang w:eastAsia="ru-RU"/>
        </w:rPr>
        <w:t xml:space="preserve"> персональных данных </w:t>
      </w:r>
    </w:p>
    <w:p w:rsidR="0077466C" w:rsidRDefault="0077466C" w:rsidP="0018327F">
      <w:pPr>
        <w:spacing w:after="0"/>
        <w:ind w:firstLine="567"/>
        <w:rPr>
          <w:rFonts w:cstheme="minorHAnsi"/>
          <w:sz w:val="18"/>
          <w:szCs w:val="18"/>
          <w:lang w:eastAsia="ru-RU"/>
        </w:rPr>
      </w:pPr>
    </w:p>
    <w:p w:rsidR="0018327F" w:rsidRPr="002002F3" w:rsidRDefault="0018327F" w:rsidP="0018327F">
      <w:pPr>
        <w:numPr>
          <w:ilvl w:val="0"/>
          <w:numId w:val="2"/>
        </w:numPr>
        <w:ind w:left="284" w:hanging="284"/>
        <w:contextualSpacing/>
        <w:rPr>
          <w:rFonts w:cstheme="minorHAnsi"/>
          <w:sz w:val="18"/>
          <w:szCs w:val="18"/>
          <w:lang w:eastAsia="ru-RU"/>
        </w:rPr>
      </w:pPr>
      <w:r w:rsidRPr="002002F3">
        <w:rPr>
          <w:rFonts w:cstheme="minorHAnsi"/>
          <w:sz w:val="18"/>
          <w:szCs w:val="18"/>
          <w:lang w:eastAsia="ru-RU"/>
        </w:rPr>
        <w:t>Стороны в соответствии с требованиями части 1 статьи 6 и части 4 статьи 18 Федерального закона от 27.07.2006 № 152-ФЗ «О персональных данных» обязуются обеспечивать правомерную передачу персональных данных друг другу в составе и сочетании, необходимом для достижения одной, нескольких или всех нижеперечисленных целей, актуальных для взаимоотношений между Сторонами:</w:t>
      </w:r>
    </w:p>
    <w:p w:rsidR="002002F3" w:rsidRPr="002002F3" w:rsidRDefault="002002F3" w:rsidP="002002F3">
      <w:pPr>
        <w:numPr>
          <w:ilvl w:val="3"/>
          <w:numId w:val="1"/>
        </w:numPr>
        <w:spacing w:after="0" w:line="240" w:lineRule="auto"/>
        <w:ind w:left="709" w:hanging="425"/>
        <w:contextualSpacing/>
        <w:rPr>
          <w:rFonts w:eastAsia="Calibri" w:cs="Times New Roman"/>
          <w:sz w:val="18"/>
          <w:szCs w:val="18"/>
        </w:rPr>
      </w:pPr>
      <w:r w:rsidRPr="002002F3">
        <w:rPr>
          <w:rFonts w:eastAsia="Calibri" w:cs="Times New Roman"/>
          <w:sz w:val="18"/>
          <w:szCs w:val="18"/>
        </w:rPr>
        <w:t>заключение и исполнение договоров и соглашений между Сторонами;</w:t>
      </w:r>
    </w:p>
    <w:p w:rsidR="002002F3" w:rsidRPr="002002F3" w:rsidRDefault="002002F3" w:rsidP="002002F3">
      <w:pPr>
        <w:numPr>
          <w:ilvl w:val="3"/>
          <w:numId w:val="1"/>
        </w:numPr>
        <w:spacing w:after="0" w:line="240" w:lineRule="auto"/>
        <w:ind w:left="709" w:hanging="425"/>
        <w:contextualSpacing/>
        <w:rPr>
          <w:rFonts w:eastAsia="Calibri" w:cs="Times New Roman"/>
          <w:sz w:val="18"/>
          <w:szCs w:val="18"/>
        </w:rPr>
      </w:pPr>
      <w:r w:rsidRPr="002002F3">
        <w:rPr>
          <w:rFonts w:eastAsia="Calibri" w:cs="Times New Roman"/>
          <w:sz w:val="18"/>
          <w:szCs w:val="18"/>
        </w:rPr>
        <w:t>ведение деловых переговоров между Сторонами;</w:t>
      </w:r>
    </w:p>
    <w:p w:rsidR="002002F3" w:rsidRPr="002002F3" w:rsidRDefault="002002F3" w:rsidP="002002F3">
      <w:pPr>
        <w:numPr>
          <w:ilvl w:val="3"/>
          <w:numId w:val="1"/>
        </w:numPr>
        <w:spacing w:after="0" w:line="240" w:lineRule="auto"/>
        <w:ind w:left="709" w:hanging="425"/>
        <w:contextualSpacing/>
        <w:rPr>
          <w:rFonts w:eastAsia="Calibri" w:cs="Times New Roman"/>
          <w:sz w:val="18"/>
          <w:szCs w:val="18"/>
        </w:rPr>
      </w:pPr>
      <w:r w:rsidRPr="002002F3">
        <w:rPr>
          <w:rFonts w:eastAsia="Calibri" w:cs="Times New Roman"/>
          <w:sz w:val="18"/>
          <w:szCs w:val="18"/>
        </w:rPr>
        <w:t>проявление Сторонами должной осмотрительности;</w:t>
      </w:r>
    </w:p>
    <w:p w:rsidR="0018327F" w:rsidRPr="002002F3" w:rsidRDefault="002002F3" w:rsidP="002002F3">
      <w:pPr>
        <w:numPr>
          <w:ilvl w:val="3"/>
          <w:numId w:val="1"/>
        </w:numPr>
        <w:spacing w:after="0" w:line="240" w:lineRule="auto"/>
        <w:ind w:left="709" w:hanging="425"/>
        <w:contextualSpacing/>
        <w:rPr>
          <w:rFonts w:eastAsia="Calibri" w:cs="Times New Roman"/>
          <w:sz w:val="18"/>
          <w:szCs w:val="18"/>
        </w:rPr>
      </w:pPr>
      <w:r w:rsidRPr="002002F3">
        <w:rPr>
          <w:rFonts w:eastAsia="Calibri" w:cs="Times New Roman"/>
          <w:sz w:val="18"/>
          <w:szCs w:val="18"/>
        </w:rPr>
        <w:t>участие одной из Сторон в процедурах закупок другой Стороны.</w:t>
      </w:r>
    </w:p>
    <w:p w:rsidR="0018327F" w:rsidRPr="002002F3" w:rsidRDefault="005245EA" w:rsidP="0018327F">
      <w:pPr>
        <w:numPr>
          <w:ilvl w:val="0"/>
          <w:numId w:val="2"/>
        </w:numPr>
        <w:ind w:left="284" w:hanging="284"/>
        <w:contextualSpacing/>
        <w:rPr>
          <w:rFonts w:cstheme="minorHAnsi"/>
          <w:sz w:val="18"/>
          <w:szCs w:val="18"/>
          <w:lang w:eastAsia="ru-RU"/>
        </w:rPr>
      </w:pPr>
      <w:r w:rsidRPr="002002F3">
        <w:rPr>
          <w:rFonts w:cstheme="minorHAnsi"/>
          <w:sz w:val="18"/>
          <w:szCs w:val="18"/>
          <w:lang w:eastAsia="ru-RU"/>
        </w:rPr>
        <w:t xml:space="preserve">Каждая из Сторон является самостоятельно действующим </w:t>
      </w:r>
      <w:r w:rsidR="000347BA" w:rsidRPr="002002F3">
        <w:rPr>
          <w:rFonts w:cstheme="minorHAnsi"/>
          <w:sz w:val="18"/>
          <w:szCs w:val="18"/>
          <w:lang w:eastAsia="ru-RU"/>
        </w:rPr>
        <w:t>оператором в отношении передаваемых ей другой Стороной персональных данных</w:t>
      </w:r>
      <w:r w:rsidRPr="002002F3">
        <w:rPr>
          <w:rFonts w:cstheme="minorHAnsi"/>
          <w:sz w:val="18"/>
          <w:szCs w:val="18"/>
          <w:lang w:eastAsia="ru-RU"/>
        </w:rPr>
        <w:t>. Иное должно быть прямо указано в соглашении о поручении обработки персональных данных, если такое соглашение будет заключено между Сторонами в отношении отдельных случаев обработки персональных данных.</w:t>
      </w:r>
    </w:p>
    <w:p w:rsidR="006A28AB" w:rsidRPr="006A28AB" w:rsidRDefault="006A28AB" w:rsidP="006A28AB">
      <w:pPr>
        <w:numPr>
          <w:ilvl w:val="0"/>
          <w:numId w:val="2"/>
        </w:numPr>
        <w:ind w:left="284" w:hanging="284"/>
        <w:contextualSpacing/>
        <w:rPr>
          <w:rFonts w:cstheme="minorHAnsi"/>
          <w:sz w:val="18"/>
          <w:szCs w:val="18"/>
          <w:lang w:eastAsia="ru-RU"/>
        </w:rPr>
      </w:pPr>
      <w:r w:rsidRPr="006A28AB">
        <w:rPr>
          <w:rFonts w:cstheme="minorHAnsi"/>
          <w:sz w:val="18"/>
          <w:szCs w:val="18"/>
          <w:lang w:eastAsia="ru-RU"/>
        </w:rPr>
        <w:t>Передающая Сторона, на основании соответствующего запроса, поступившего от получающей Стороны, в разумный срок предоставляет получающей Стороне подтверждение либо факта получения согласия субъектов на осуществление передачи их персональных данных, либо подтверждение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данных.</w:t>
      </w:r>
    </w:p>
    <w:p w:rsidR="006A28AB" w:rsidRPr="006A28AB" w:rsidRDefault="006A28AB" w:rsidP="006A28AB">
      <w:pPr>
        <w:numPr>
          <w:ilvl w:val="0"/>
          <w:numId w:val="2"/>
        </w:numPr>
        <w:ind w:left="284" w:hanging="284"/>
        <w:contextualSpacing/>
        <w:rPr>
          <w:rFonts w:cstheme="minorHAnsi"/>
          <w:sz w:val="18"/>
          <w:szCs w:val="18"/>
          <w:lang w:eastAsia="ru-RU"/>
        </w:rPr>
      </w:pPr>
      <w:r w:rsidRPr="006A28AB">
        <w:rPr>
          <w:rFonts w:cstheme="minorHAnsi"/>
          <w:sz w:val="18"/>
          <w:szCs w:val="18"/>
          <w:lang w:eastAsia="ru-RU"/>
        </w:rPr>
        <w:t>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27.07.2006 № 152-ФЗ «О персональных данных».</w:t>
      </w:r>
    </w:p>
    <w:p w:rsidR="0018327F" w:rsidRPr="002002F3" w:rsidRDefault="006A28AB" w:rsidP="006A28AB">
      <w:pPr>
        <w:numPr>
          <w:ilvl w:val="0"/>
          <w:numId w:val="2"/>
        </w:numPr>
        <w:ind w:left="284" w:hanging="284"/>
        <w:contextualSpacing/>
        <w:rPr>
          <w:rFonts w:cstheme="minorHAnsi"/>
          <w:sz w:val="18"/>
          <w:szCs w:val="18"/>
          <w:lang w:eastAsia="ru-RU"/>
        </w:rPr>
      </w:pPr>
      <w:r w:rsidRPr="006A28AB">
        <w:rPr>
          <w:rFonts w:cstheme="minorHAnsi"/>
          <w:sz w:val="18"/>
          <w:szCs w:val="18"/>
          <w:lang w:eastAsia="ru-RU"/>
        </w:rPr>
        <w:t>В предусмотренных настоящим Соглашением целях получающая Сторона имеет право привлекать третьих лиц к обработке персональных данных, полученных от передающей Стороны, путем поручения третьим лицам обработки указанных персональных данных и (или) путем передачи третьим лицам персональных данных без поручения обработки персональных данных.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обработке. Получающая Сторона обязана по запросу передающей Стороны в разумный срок предоставить сведения о привлекаемых к обработке персональных данных третьих лицах, а также сведения о том, какие персональные данные, каких субъектов и в каких целях были переданы третьим лицам.</w:t>
      </w:r>
    </w:p>
    <w:p w:rsidR="0018327F" w:rsidRPr="00947ED8" w:rsidRDefault="0088493D" w:rsidP="00947ED8">
      <w:pPr>
        <w:numPr>
          <w:ilvl w:val="0"/>
          <w:numId w:val="2"/>
        </w:numPr>
        <w:ind w:left="284" w:hanging="284"/>
        <w:contextualSpacing/>
        <w:rPr>
          <w:rFonts w:cstheme="minorHAnsi"/>
          <w:sz w:val="18"/>
          <w:szCs w:val="18"/>
          <w:lang w:eastAsia="ru-RU"/>
        </w:rPr>
      </w:pPr>
      <w:r w:rsidRPr="002002F3">
        <w:rPr>
          <w:rFonts w:cstheme="minorHAnsi"/>
          <w:sz w:val="18"/>
          <w:szCs w:val="18"/>
          <w:lang w:eastAsia="ru-RU"/>
        </w:rPr>
        <w:t>Одна Сторона обязуется возместить другой Стороне убытки в размере причиненного и документально подтвержденного реального ущерба, причиненного потерпевшей Стороне вследствие осуществления виновной Стороной неправомерной передачи персональных данных в адрес потерпевшей Стороны, а также при нарушении виновной Стороной конфиденциальности и (или) безопасности при обработке передаваемых ей потерпевшей Стороной персональных данных.</w:t>
      </w:r>
      <w:bookmarkStart w:id="0" w:name="_GoBack"/>
      <w:bookmarkEnd w:id="0"/>
    </w:p>
    <w:sectPr w:rsidR="0018327F" w:rsidRPr="00947ED8" w:rsidSect="0018327F">
      <w:headerReference w:type="default" r:id="rId7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F9" w:rsidRDefault="005E24F9" w:rsidP="00F44569">
      <w:pPr>
        <w:spacing w:after="0" w:line="240" w:lineRule="auto"/>
      </w:pPr>
      <w:r>
        <w:separator/>
      </w:r>
    </w:p>
  </w:endnote>
  <w:endnote w:type="continuationSeparator" w:id="0">
    <w:p w:rsidR="005E24F9" w:rsidRDefault="005E24F9" w:rsidP="00F4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F9" w:rsidRDefault="005E24F9" w:rsidP="00F44569">
      <w:pPr>
        <w:spacing w:after="0" w:line="240" w:lineRule="auto"/>
      </w:pPr>
      <w:r>
        <w:separator/>
      </w:r>
    </w:p>
  </w:footnote>
  <w:footnote w:type="continuationSeparator" w:id="0">
    <w:p w:rsidR="005E24F9" w:rsidRDefault="005E24F9" w:rsidP="00F4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69" w:rsidRDefault="00F44569">
    <w:pPr>
      <w:pStyle w:val="Header"/>
    </w:pPr>
    <w:r w:rsidRPr="00405398">
      <w:rPr>
        <w:noProof/>
        <w:sz w:val="40"/>
        <w:szCs w:val="40"/>
        <w:lang w:eastAsia="ru-RU"/>
      </w:rPr>
      <w:drawing>
        <wp:anchor distT="0" distB="0" distL="114300" distR="114300" simplePos="0" relativeHeight="251659264" behindDoc="1" locked="0" layoutInCell="1" allowOverlap="1" wp14:anchorId="0E3762B1" wp14:editId="7DD1D3A0">
          <wp:simplePos x="0" y="0"/>
          <wp:positionH relativeFrom="margin">
            <wp:posOffset>4620260</wp:posOffset>
          </wp:positionH>
          <wp:positionV relativeFrom="margin">
            <wp:posOffset>-513080</wp:posOffset>
          </wp:positionV>
          <wp:extent cx="2324100" cy="514350"/>
          <wp:effectExtent l="0" t="0" r="0" b="0"/>
          <wp:wrapTight wrapText="bothSides">
            <wp:wrapPolygon edited="0">
              <wp:start x="0" y="0"/>
              <wp:lineTo x="0" y="20800"/>
              <wp:lineTo x="21423" y="20800"/>
              <wp:lineTo x="21423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416E"/>
    <w:multiLevelType w:val="multilevel"/>
    <w:tmpl w:val="640A4EBE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1021" w:hanging="341"/>
      </w:pPr>
      <w:rPr>
        <w:rFonts w:ascii="Calibri" w:hAnsi="Calibri" w:hint="default"/>
        <w:sz w:val="18"/>
        <w:szCs w:val="19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B301627"/>
    <w:multiLevelType w:val="multilevel"/>
    <w:tmpl w:val="42EA8E4C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sz w:val="18"/>
        <w:szCs w:val="19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1021" w:hanging="341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7F"/>
    <w:rsid w:val="000347BA"/>
    <w:rsid w:val="000940EF"/>
    <w:rsid w:val="0018327F"/>
    <w:rsid w:val="002002F3"/>
    <w:rsid w:val="002A4EEF"/>
    <w:rsid w:val="002B10C5"/>
    <w:rsid w:val="00425BB7"/>
    <w:rsid w:val="00445182"/>
    <w:rsid w:val="00474FDF"/>
    <w:rsid w:val="00481E7D"/>
    <w:rsid w:val="004B6920"/>
    <w:rsid w:val="004D1D46"/>
    <w:rsid w:val="005245EA"/>
    <w:rsid w:val="00566FA4"/>
    <w:rsid w:val="005C7945"/>
    <w:rsid w:val="005E24F9"/>
    <w:rsid w:val="006A28AB"/>
    <w:rsid w:val="00733772"/>
    <w:rsid w:val="0077466C"/>
    <w:rsid w:val="0088493D"/>
    <w:rsid w:val="008B1C95"/>
    <w:rsid w:val="008F1B9F"/>
    <w:rsid w:val="00947ED8"/>
    <w:rsid w:val="00CB7602"/>
    <w:rsid w:val="00DC17C8"/>
    <w:rsid w:val="00F44569"/>
    <w:rsid w:val="00F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80AA"/>
  <w15:docId w15:val="{684FB68C-7696-447A-A787-943A98A2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7F"/>
    <w:pPr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327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BodyTextChar">
    <w:name w:val="Body Text Char"/>
    <w:basedOn w:val="DefaultParagraphFont"/>
    <w:link w:val="BodyText"/>
    <w:rsid w:val="001832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PlainText">
    <w:name w:val="Plain Text"/>
    <w:basedOn w:val="Normal"/>
    <w:link w:val="PlainTextChar"/>
    <w:rsid w:val="0018327F"/>
    <w:pPr>
      <w:spacing w:after="0" w:line="240" w:lineRule="auto"/>
      <w:jc w:val="left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1832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4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6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4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6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Muntyan</dc:creator>
  <cp:lastModifiedBy>Sergey Nosulya (DHL RU)</cp:lastModifiedBy>
  <cp:revision>2</cp:revision>
  <dcterms:created xsi:type="dcterms:W3CDTF">2021-05-31T19:20:00Z</dcterms:created>
  <dcterms:modified xsi:type="dcterms:W3CDTF">2021-05-31T19:20:00Z</dcterms:modified>
</cp:coreProperties>
</file>